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4B" w:rsidRDefault="00B5124B" w:rsidP="00B5124B">
      <w:pPr>
        <w:pStyle w:val="Default"/>
      </w:pPr>
    </w:p>
    <w:p w:rsidR="00B5124B" w:rsidRDefault="00B5124B" w:rsidP="00B5124B">
      <w:pPr>
        <w:pStyle w:val="Default"/>
        <w:rPr>
          <w:sz w:val="20"/>
          <w:szCs w:val="20"/>
        </w:rPr>
      </w:pPr>
      <w:r>
        <w:rPr>
          <w:sz w:val="20"/>
          <w:szCs w:val="20"/>
        </w:rPr>
        <w:t>Casalfiumanese</w:t>
      </w:r>
      <w:r>
        <w:rPr>
          <w:sz w:val="20"/>
          <w:szCs w:val="20"/>
        </w:rPr>
        <w:t xml:space="preserve">, lì </w:t>
      </w:r>
      <w:r>
        <w:rPr>
          <w:sz w:val="20"/>
          <w:szCs w:val="20"/>
        </w:rPr>
        <w:fldChar w:fldCharType="begin"/>
      </w:r>
      <w:r>
        <w:rPr>
          <w:sz w:val="20"/>
          <w:szCs w:val="20"/>
        </w:rPr>
        <w:instrText xml:space="preserve"> TIME \@ "dd/MM/yyyy" </w:instrText>
      </w:r>
      <w:r>
        <w:rPr>
          <w:sz w:val="20"/>
          <w:szCs w:val="20"/>
        </w:rPr>
        <w:fldChar w:fldCharType="separate"/>
      </w:r>
      <w:r>
        <w:rPr>
          <w:noProof/>
          <w:sz w:val="20"/>
          <w:szCs w:val="20"/>
        </w:rPr>
        <w:t>16/08/2021</w:t>
      </w:r>
      <w:r>
        <w:rPr>
          <w:sz w:val="20"/>
          <w:szCs w:val="20"/>
        </w:rPr>
        <w:fldChar w:fldCharType="end"/>
      </w:r>
    </w:p>
    <w:p w:rsidR="00B5124B" w:rsidRDefault="00B5124B" w:rsidP="00B5124B">
      <w:pPr>
        <w:pStyle w:val="Default"/>
        <w:rPr>
          <w:sz w:val="20"/>
          <w:szCs w:val="20"/>
        </w:rPr>
      </w:pPr>
      <w:r>
        <w:rPr>
          <w:sz w:val="20"/>
          <w:szCs w:val="20"/>
        </w:rPr>
        <w:t xml:space="preserve"> </w:t>
      </w:r>
    </w:p>
    <w:p w:rsidR="00B5124B" w:rsidRDefault="00B5124B" w:rsidP="00B5124B">
      <w:pPr>
        <w:pStyle w:val="Default"/>
        <w:rPr>
          <w:sz w:val="20"/>
          <w:szCs w:val="20"/>
        </w:rPr>
      </w:pPr>
      <w:r>
        <w:rPr>
          <w:sz w:val="20"/>
          <w:szCs w:val="20"/>
        </w:rPr>
        <w:t>TESSERINO HOBBISTA N. 1/2021</w:t>
      </w:r>
    </w:p>
    <w:p w:rsidR="00B5124B" w:rsidRDefault="00B5124B" w:rsidP="00B5124B">
      <w:pPr>
        <w:pStyle w:val="Default"/>
        <w:rPr>
          <w:sz w:val="20"/>
          <w:szCs w:val="20"/>
        </w:rPr>
      </w:pPr>
      <w:r>
        <w:rPr>
          <w:sz w:val="20"/>
          <w:szCs w:val="20"/>
        </w:rPr>
        <w:t xml:space="preserve"> </w:t>
      </w:r>
    </w:p>
    <w:p w:rsidR="00B5124B" w:rsidRDefault="00B5124B" w:rsidP="00B5124B">
      <w:pPr>
        <w:pStyle w:val="Default"/>
        <w:ind w:left="4956" w:firstLine="708"/>
        <w:rPr>
          <w:sz w:val="20"/>
          <w:szCs w:val="20"/>
        </w:rPr>
      </w:pPr>
      <w:r>
        <w:rPr>
          <w:sz w:val="20"/>
          <w:szCs w:val="20"/>
        </w:rPr>
        <w:t>Spett.le</w:t>
      </w:r>
      <w:r>
        <w:rPr>
          <w:sz w:val="20"/>
          <w:szCs w:val="20"/>
        </w:rPr>
        <w:tab/>
      </w:r>
      <w:r>
        <w:rPr>
          <w:b/>
          <w:bCs/>
          <w:sz w:val="20"/>
          <w:szCs w:val="20"/>
        </w:rPr>
        <w:t xml:space="preserve">D’ ARCO ANNA </w:t>
      </w:r>
    </w:p>
    <w:p w:rsidR="00B5124B" w:rsidRDefault="00B5124B" w:rsidP="00B5124B">
      <w:pPr>
        <w:pStyle w:val="Default"/>
        <w:ind w:left="5664" w:firstLine="708"/>
        <w:rPr>
          <w:sz w:val="20"/>
          <w:szCs w:val="20"/>
        </w:rPr>
      </w:pPr>
      <w:r>
        <w:rPr>
          <w:b/>
          <w:bCs/>
          <w:sz w:val="20"/>
          <w:szCs w:val="20"/>
        </w:rPr>
        <w:t xml:space="preserve">Via Chiavica Nuova, 28 </w:t>
      </w:r>
    </w:p>
    <w:p w:rsidR="00B5124B" w:rsidRDefault="00B5124B" w:rsidP="00B5124B">
      <w:pPr>
        <w:pStyle w:val="Default"/>
        <w:ind w:left="5664" w:firstLine="708"/>
        <w:rPr>
          <w:b/>
          <w:bCs/>
          <w:sz w:val="20"/>
          <w:szCs w:val="20"/>
        </w:rPr>
      </w:pPr>
      <w:r>
        <w:rPr>
          <w:b/>
          <w:bCs/>
          <w:sz w:val="20"/>
          <w:szCs w:val="20"/>
        </w:rPr>
        <w:t xml:space="preserve">40027 Mordano (BO) </w:t>
      </w:r>
    </w:p>
    <w:p w:rsidR="00B5124B" w:rsidRDefault="00B5124B" w:rsidP="00B5124B">
      <w:pPr>
        <w:pStyle w:val="Default"/>
        <w:rPr>
          <w:b/>
          <w:bCs/>
          <w:sz w:val="20"/>
          <w:szCs w:val="20"/>
        </w:rPr>
      </w:pPr>
    </w:p>
    <w:p w:rsidR="00B5124B" w:rsidRDefault="00B5124B" w:rsidP="00B5124B">
      <w:pPr>
        <w:pStyle w:val="Default"/>
        <w:rPr>
          <w:sz w:val="20"/>
          <w:szCs w:val="20"/>
        </w:rPr>
      </w:pPr>
    </w:p>
    <w:p w:rsidR="00B5124B" w:rsidRDefault="00B5124B" w:rsidP="00B5124B">
      <w:pPr>
        <w:pStyle w:val="Default"/>
        <w:rPr>
          <w:rFonts w:ascii="Arial" w:hAnsi="Arial" w:cs="Arial"/>
          <w:sz w:val="20"/>
          <w:szCs w:val="20"/>
        </w:rPr>
      </w:pPr>
      <w:r>
        <w:rPr>
          <w:b/>
          <w:bCs/>
          <w:sz w:val="23"/>
          <w:szCs w:val="23"/>
        </w:rPr>
        <w:t xml:space="preserve">Oggetto: </w:t>
      </w:r>
      <w:r>
        <w:rPr>
          <w:rFonts w:ascii="Arial" w:hAnsi="Arial" w:cs="Arial"/>
          <w:b/>
          <w:bCs/>
          <w:sz w:val="20"/>
          <w:szCs w:val="20"/>
        </w:rPr>
        <w:t>Rilascio Tesserino da Hobbista L.R. 12/1999 e ss.mm.</w:t>
      </w:r>
    </w:p>
    <w:p w:rsidR="00B5124B" w:rsidRDefault="00B5124B" w:rsidP="00B5124B">
      <w:pPr>
        <w:pStyle w:val="Default"/>
        <w:rPr>
          <w:b/>
          <w:bCs/>
          <w:sz w:val="23"/>
          <w:szCs w:val="23"/>
        </w:rPr>
      </w:pPr>
    </w:p>
    <w:p w:rsidR="00B5124B" w:rsidRDefault="00B5124B" w:rsidP="00B5124B">
      <w:pPr>
        <w:pStyle w:val="Default"/>
        <w:jc w:val="center"/>
        <w:rPr>
          <w:sz w:val="23"/>
          <w:szCs w:val="23"/>
        </w:rPr>
      </w:pPr>
      <w:r>
        <w:rPr>
          <w:b/>
          <w:bCs/>
          <w:sz w:val="23"/>
          <w:szCs w:val="23"/>
        </w:rPr>
        <w:t>IL RESPONSABILE DEL SERVIZIO</w:t>
      </w:r>
    </w:p>
    <w:p w:rsidR="00B5124B" w:rsidRDefault="00B5124B" w:rsidP="00B5124B">
      <w:pPr>
        <w:rPr>
          <w:sz w:val="23"/>
          <w:szCs w:val="23"/>
        </w:rPr>
      </w:pPr>
    </w:p>
    <w:p w:rsidR="005B0AEA" w:rsidRDefault="00B5124B" w:rsidP="00B5124B">
      <w:pPr>
        <w:jc w:val="both"/>
        <w:rPr>
          <w:sz w:val="23"/>
          <w:szCs w:val="23"/>
        </w:rPr>
      </w:pPr>
      <w:r>
        <w:rPr>
          <w:sz w:val="23"/>
          <w:szCs w:val="23"/>
        </w:rPr>
        <w:t xml:space="preserve">Vista l’istanza presentata in data </w:t>
      </w:r>
      <w:r>
        <w:rPr>
          <w:sz w:val="23"/>
          <w:szCs w:val="23"/>
        </w:rPr>
        <w:t>17</w:t>
      </w:r>
      <w:r>
        <w:rPr>
          <w:sz w:val="23"/>
          <w:szCs w:val="23"/>
        </w:rPr>
        <w:t>.0</w:t>
      </w:r>
      <w:r>
        <w:rPr>
          <w:sz w:val="23"/>
          <w:szCs w:val="23"/>
        </w:rPr>
        <w:t>8</w:t>
      </w:r>
      <w:r>
        <w:rPr>
          <w:sz w:val="23"/>
          <w:szCs w:val="23"/>
        </w:rPr>
        <w:t xml:space="preserve">.2021 e assunta al n. </w:t>
      </w:r>
      <w:r>
        <w:rPr>
          <w:sz w:val="23"/>
          <w:szCs w:val="23"/>
        </w:rPr>
        <w:t xml:space="preserve">. . . </w:t>
      </w:r>
      <w:proofErr w:type="gramStart"/>
      <w:r>
        <w:rPr>
          <w:sz w:val="23"/>
          <w:szCs w:val="23"/>
        </w:rPr>
        <w:t>. . . .</w:t>
      </w:r>
      <w:proofErr w:type="gramEnd"/>
      <w:r>
        <w:rPr>
          <w:sz w:val="23"/>
          <w:szCs w:val="23"/>
        </w:rPr>
        <w:t xml:space="preserve"> del protocollo generale di questo Ente, dal </w:t>
      </w:r>
      <w:proofErr w:type="spellStart"/>
      <w:proofErr w:type="gramStart"/>
      <w:r>
        <w:rPr>
          <w:sz w:val="23"/>
          <w:szCs w:val="23"/>
        </w:rPr>
        <w:t>sig</w:t>
      </w:r>
      <w:proofErr w:type="spellEnd"/>
      <w:r>
        <w:rPr>
          <w:sz w:val="23"/>
          <w:szCs w:val="23"/>
        </w:rPr>
        <w:t xml:space="preserve"> </w:t>
      </w:r>
      <w:r>
        <w:rPr>
          <w:sz w:val="23"/>
          <w:szCs w:val="23"/>
        </w:rPr>
        <w:t xml:space="preserve"> . . .</w:t>
      </w:r>
      <w:proofErr w:type="gramEnd"/>
      <w:r>
        <w:rPr>
          <w:sz w:val="23"/>
          <w:szCs w:val="23"/>
        </w:rPr>
        <w:t xml:space="preserve"> . . . . </w:t>
      </w:r>
      <w:r>
        <w:rPr>
          <w:sz w:val="23"/>
          <w:szCs w:val="23"/>
        </w:rPr>
        <w:t xml:space="preserve"> nat</w:t>
      </w:r>
      <w:r>
        <w:rPr>
          <w:sz w:val="23"/>
          <w:szCs w:val="23"/>
        </w:rPr>
        <w:t>o</w:t>
      </w:r>
      <w:r>
        <w:rPr>
          <w:sz w:val="23"/>
          <w:szCs w:val="23"/>
        </w:rPr>
        <w:t xml:space="preserve"> a </w:t>
      </w:r>
      <w:r>
        <w:rPr>
          <w:sz w:val="23"/>
          <w:szCs w:val="23"/>
        </w:rPr>
        <w:t xml:space="preserve">. . . </w:t>
      </w:r>
      <w:proofErr w:type="gramStart"/>
      <w:r>
        <w:rPr>
          <w:sz w:val="23"/>
          <w:szCs w:val="23"/>
        </w:rPr>
        <w:t>. . . .</w:t>
      </w:r>
      <w:proofErr w:type="gramEnd"/>
      <w:r>
        <w:rPr>
          <w:sz w:val="23"/>
          <w:szCs w:val="23"/>
        </w:rPr>
        <w:t xml:space="preserve"> </w:t>
      </w:r>
      <w:r>
        <w:rPr>
          <w:sz w:val="23"/>
          <w:szCs w:val="23"/>
        </w:rPr>
        <w:t xml:space="preserve"> il </w:t>
      </w:r>
      <w:r>
        <w:rPr>
          <w:sz w:val="23"/>
          <w:szCs w:val="23"/>
        </w:rPr>
        <w:t xml:space="preserve">. . . </w:t>
      </w:r>
      <w:proofErr w:type="gramStart"/>
      <w:r>
        <w:rPr>
          <w:sz w:val="23"/>
          <w:szCs w:val="23"/>
        </w:rPr>
        <w:t>. . . .</w:t>
      </w:r>
      <w:proofErr w:type="gramEnd"/>
      <w:r>
        <w:rPr>
          <w:sz w:val="23"/>
          <w:szCs w:val="23"/>
        </w:rPr>
        <w:t xml:space="preserve"> . </w:t>
      </w:r>
      <w:r>
        <w:rPr>
          <w:sz w:val="23"/>
          <w:szCs w:val="23"/>
        </w:rPr>
        <w:t xml:space="preserve"> Codice fiscale </w:t>
      </w:r>
      <w:r>
        <w:rPr>
          <w:sz w:val="23"/>
          <w:szCs w:val="23"/>
        </w:rPr>
        <w:t xml:space="preserve">. . . </w:t>
      </w:r>
      <w:proofErr w:type="gramStart"/>
      <w:r>
        <w:rPr>
          <w:sz w:val="23"/>
          <w:szCs w:val="23"/>
        </w:rPr>
        <w:t xml:space="preserve">. . .  </w:t>
      </w:r>
      <w:r>
        <w:rPr>
          <w:sz w:val="23"/>
          <w:szCs w:val="23"/>
        </w:rPr>
        <w:t>,</w:t>
      </w:r>
      <w:proofErr w:type="gramEnd"/>
      <w:r>
        <w:rPr>
          <w:sz w:val="23"/>
          <w:szCs w:val="23"/>
        </w:rPr>
        <w:t xml:space="preserve"> volta ad ottenere di rilascio del tesserino da Hobbista ai sensi dell’art. 7 bis della Legge regionale 12/1999</w:t>
      </w:r>
    </w:p>
    <w:p w:rsidR="00B5124B" w:rsidRDefault="00B5124B" w:rsidP="00B5124B">
      <w:pPr>
        <w:pStyle w:val="Default"/>
        <w:jc w:val="both"/>
      </w:pPr>
    </w:p>
    <w:p w:rsidR="00B5124B" w:rsidRDefault="00B5124B" w:rsidP="00B5124B">
      <w:pPr>
        <w:pStyle w:val="Default"/>
        <w:jc w:val="both"/>
        <w:rPr>
          <w:sz w:val="23"/>
          <w:szCs w:val="23"/>
        </w:rPr>
      </w:pPr>
      <w:r>
        <w:rPr>
          <w:sz w:val="23"/>
          <w:szCs w:val="23"/>
        </w:rPr>
        <w:t xml:space="preserve">Visti: </w:t>
      </w:r>
    </w:p>
    <w:p w:rsidR="00B5124B" w:rsidRDefault="00B5124B" w:rsidP="00B5124B">
      <w:pPr>
        <w:pStyle w:val="Default"/>
        <w:jc w:val="both"/>
        <w:rPr>
          <w:sz w:val="23"/>
          <w:szCs w:val="23"/>
        </w:rPr>
      </w:pPr>
      <w:r>
        <w:rPr>
          <w:sz w:val="16"/>
          <w:szCs w:val="16"/>
        </w:rPr>
        <w:t xml:space="preserve">- </w:t>
      </w:r>
      <w:r>
        <w:rPr>
          <w:sz w:val="23"/>
          <w:szCs w:val="23"/>
        </w:rPr>
        <w:t>la L. n. 241/1990 e ss.</w:t>
      </w:r>
      <w:proofErr w:type="gramStart"/>
      <w:r>
        <w:rPr>
          <w:sz w:val="23"/>
          <w:szCs w:val="23"/>
        </w:rPr>
        <w:t>mm.ii.</w:t>
      </w:r>
      <w:proofErr w:type="gramEnd"/>
      <w:r>
        <w:rPr>
          <w:sz w:val="23"/>
          <w:szCs w:val="23"/>
        </w:rPr>
        <w:t xml:space="preserve"> in materia di procedimento amministrativo; </w:t>
      </w:r>
    </w:p>
    <w:p w:rsidR="00B5124B" w:rsidRDefault="00B5124B" w:rsidP="00B5124B">
      <w:pPr>
        <w:pStyle w:val="Default"/>
        <w:jc w:val="both"/>
        <w:rPr>
          <w:sz w:val="23"/>
          <w:szCs w:val="23"/>
        </w:rPr>
      </w:pPr>
      <w:r>
        <w:rPr>
          <w:sz w:val="16"/>
          <w:szCs w:val="16"/>
        </w:rPr>
        <w:t xml:space="preserve">- </w:t>
      </w:r>
      <w:r>
        <w:rPr>
          <w:sz w:val="23"/>
          <w:szCs w:val="23"/>
        </w:rPr>
        <w:t xml:space="preserve">il D.P.R. 160/2010 in materia di Sportello Unico per le Attività </w:t>
      </w:r>
      <w:proofErr w:type="gramStart"/>
      <w:r>
        <w:rPr>
          <w:sz w:val="23"/>
          <w:szCs w:val="23"/>
        </w:rPr>
        <w:t>Produttive ;</w:t>
      </w:r>
      <w:proofErr w:type="gramEnd"/>
      <w:r>
        <w:rPr>
          <w:sz w:val="23"/>
          <w:szCs w:val="23"/>
        </w:rPr>
        <w:t xml:space="preserve"> </w:t>
      </w:r>
    </w:p>
    <w:p w:rsidR="00B5124B" w:rsidRDefault="00B5124B" w:rsidP="00B5124B">
      <w:pPr>
        <w:pStyle w:val="Default"/>
        <w:jc w:val="both"/>
        <w:rPr>
          <w:sz w:val="23"/>
          <w:szCs w:val="23"/>
        </w:rPr>
      </w:pPr>
      <w:r>
        <w:rPr>
          <w:sz w:val="23"/>
          <w:szCs w:val="23"/>
        </w:rPr>
        <w:t xml:space="preserve">- La L.R. 25/06/1999, n. 12 “Norme per la disciplina del commercio su aree pubbliche in attuazione del </w:t>
      </w:r>
      <w:proofErr w:type="spellStart"/>
      <w:r>
        <w:rPr>
          <w:sz w:val="23"/>
          <w:szCs w:val="23"/>
        </w:rPr>
        <w:t>D.Lgs.n</w:t>
      </w:r>
      <w:proofErr w:type="spellEnd"/>
      <w:r>
        <w:rPr>
          <w:sz w:val="23"/>
          <w:szCs w:val="23"/>
        </w:rPr>
        <w:t xml:space="preserve">. 114/98”; </w:t>
      </w:r>
    </w:p>
    <w:p w:rsidR="00B5124B" w:rsidRDefault="00B5124B" w:rsidP="00B5124B">
      <w:pPr>
        <w:pStyle w:val="Default"/>
        <w:jc w:val="both"/>
        <w:rPr>
          <w:sz w:val="23"/>
          <w:szCs w:val="23"/>
        </w:rPr>
      </w:pPr>
      <w:r>
        <w:rPr>
          <w:sz w:val="23"/>
          <w:szCs w:val="23"/>
        </w:rPr>
        <w:t xml:space="preserve">- Il </w:t>
      </w:r>
      <w:proofErr w:type="spellStart"/>
      <w:proofErr w:type="gramStart"/>
      <w:r>
        <w:rPr>
          <w:sz w:val="23"/>
          <w:szCs w:val="23"/>
        </w:rPr>
        <w:t>D.Lgs</w:t>
      </w:r>
      <w:proofErr w:type="gramEnd"/>
      <w:r>
        <w:rPr>
          <w:sz w:val="23"/>
          <w:szCs w:val="23"/>
        </w:rPr>
        <w:t>.</w:t>
      </w:r>
      <w:proofErr w:type="spellEnd"/>
      <w:r>
        <w:rPr>
          <w:sz w:val="23"/>
          <w:szCs w:val="23"/>
        </w:rPr>
        <w:t xml:space="preserve"> 26/03/2010, n. 59 “Attuazione della direttiva 2006/123/CE relativa ai servizi nel mercato interno”; </w:t>
      </w:r>
    </w:p>
    <w:p w:rsidR="00B5124B" w:rsidRDefault="00B5124B" w:rsidP="00B5124B">
      <w:pPr>
        <w:pStyle w:val="Default"/>
        <w:jc w:val="both"/>
        <w:rPr>
          <w:sz w:val="23"/>
          <w:szCs w:val="23"/>
        </w:rPr>
      </w:pPr>
      <w:r>
        <w:rPr>
          <w:sz w:val="23"/>
          <w:szCs w:val="23"/>
        </w:rPr>
        <w:t>- la L.R. 24/05/2013, n. 4 “Regolamentazione del commercio sulle aree pubbliche in forma hobbistica</w:t>
      </w:r>
      <w:r>
        <w:rPr>
          <w:sz w:val="23"/>
          <w:szCs w:val="23"/>
        </w:rPr>
        <w:t>”</w:t>
      </w:r>
      <w:r>
        <w:rPr>
          <w:sz w:val="23"/>
          <w:szCs w:val="23"/>
        </w:rPr>
        <w:t xml:space="preserve">. Modifiche alla Legge regionale 25/06/1999, n. 12 (norme per la disciplina del commercio su aree pubbliche in attuazione del decreto legislativo 31/03/1998, n. 114) alla legge regionale 28/04/1984, n. 21 (Disciplina dell’applicazione delle sanzioni amministrative di competenza regionale) e alla legge regionale 10/02/2011, n. 1 (Presentazione del documento unico di regolarità contributiva da parte degli operatori del commercio sulle aree pubbliche); </w:t>
      </w:r>
    </w:p>
    <w:p w:rsidR="00B5124B" w:rsidRDefault="00B5124B" w:rsidP="00B5124B">
      <w:pPr>
        <w:jc w:val="both"/>
        <w:rPr>
          <w:sz w:val="23"/>
          <w:szCs w:val="23"/>
        </w:rPr>
      </w:pPr>
      <w:r>
        <w:rPr>
          <w:sz w:val="23"/>
          <w:szCs w:val="23"/>
        </w:rPr>
        <w:t>- Delibera G.R. 24/06/2013, n. 844 “L.R. 4/2013. Individuazione delle caratteristiche e delle modalità di richiesta del tesserino degli hobbisti. Definizione delle comunicazioni annuali alla Regione.</w:t>
      </w:r>
    </w:p>
    <w:p w:rsidR="00B5124B" w:rsidRDefault="00B5124B" w:rsidP="00B5124B">
      <w:pPr>
        <w:jc w:val="both"/>
        <w:rPr>
          <w:sz w:val="23"/>
          <w:szCs w:val="23"/>
        </w:rPr>
      </w:pPr>
    </w:p>
    <w:p w:rsidR="00B5124B" w:rsidRDefault="00B5124B" w:rsidP="00B5124B">
      <w:pPr>
        <w:jc w:val="center"/>
        <w:rPr>
          <w:b/>
          <w:bCs/>
          <w:sz w:val="23"/>
          <w:szCs w:val="23"/>
        </w:rPr>
      </w:pPr>
      <w:r>
        <w:rPr>
          <w:b/>
          <w:bCs/>
          <w:sz w:val="23"/>
          <w:szCs w:val="23"/>
        </w:rPr>
        <w:t>RILASCIA</w:t>
      </w:r>
    </w:p>
    <w:p w:rsidR="00B5124B" w:rsidRDefault="00B5124B" w:rsidP="00B5124B">
      <w:pPr>
        <w:rPr>
          <w:b/>
          <w:bCs/>
          <w:sz w:val="23"/>
          <w:szCs w:val="23"/>
        </w:rPr>
      </w:pPr>
    </w:p>
    <w:p w:rsidR="00B5124B" w:rsidRDefault="00B5124B" w:rsidP="00B5124B">
      <w:pPr>
        <w:pStyle w:val="Default"/>
        <w:rPr>
          <w:sz w:val="23"/>
          <w:szCs w:val="23"/>
        </w:rPr>
      </w:pPr>
      <w:r>
        <w:rPr>
          <w:sz w:val="23"/>
          <w:szCs w:val="23"/>
        </w:rPr>
        <w:t>Al</w:t>
      </w:r>
      <w:r>
        <w:rPr>
          <w:sz w:val="23"/>
          <w:szCs w:val="23"/>
        </w:rPr>
        <w:t xml:space="preserve"> </w:t>
      </w:r>
      <w:proofErr w:type="gramStart"/>
      <w:r>
        <w:rPr>
          <w:sz w:val="23"/>
          <w:szCs w:val="23"/>
        </w:rPr>
        <w:t>signor</w:t>
      </w:r>
      <w:r>
        <w:rPr>
          <w:sz w:val="23"/>
          <w:szCs w:val="23"/>
        </w:rPr>
        <w:t xml:space="preserve"> </w:t>
      </w:r>
      <w:r>
        <w:rPr>
          <w:b/>
          <w:bCs/>
          <w:sz w:val="23"/>
          <w:szCs w:val="23"/>
        </w:rPr>
        <w:t xml:space="preserve"> . . .</w:t>
      </w:r>
      <w:proofErr w:type="gramEnd"/>
      <w:r>
        <w:rPr>
          <w:b/>
          <w:bCs/>
          <w:sz w:val="23"/>
          <w:szCs w:val="23"/>
        </w:rPr>
        <w:t xml:space="preserve"> . . . . . </w:t>
      </w:r>
      <w:r>
        <w:rPr>
          <w:b/>
          <w:bCs/>
          <w:sz w:val="23"/>
          <w:szCs w:val="23"/>
        </w:rPr>
        <w:t xml:space="preserve"> </w:t>
      </w:r>
      <w:r>
        <w:rPr>
          <w:sz w:val="23"/>
          <w:szCs w:val="23"/>
        </w:rPr>
        <w:t>Nat</w:t>
      </w:r>
      <w:r>
        <w:rPr>
          <w:sz w:val="23"/>
          <w:szCs w:val="23"/>
        </w:rPr>
        <w:t>o</w:t>
      </w:r>
      <w:r>
        <w:rPr>
          <w:sz w:val="23"/>
          <w:szCs w:val="23"/>
        </w:rPr>
        <w:t xml:space="preserve"> a </w:t>
      </w:r>
      <w:r>
        <w:rPr>
          <w:b/>
          <w:bCs/>
          <w:sz w:val="23"/>
          <w:szCs w:val="23"/>
        </w:rPr>
        <w:t xml:space="preserve">. . . . . . . . . </w:t>
      </w:r>
      <w:r>
        <w:rPr>
          <w:b/>
          <w:bCs/>
          <w:sz w:val="23"/>
          <w:szCs w:val="23"/>
        </w:rPr>
        <w:t xml:space="preserve"> </w:t>
      </w:r>
      <w:r>
        <w:rPr>
          <w:sz w:val="23"/>
          <w:szCs w:val="23"/>
        </w:rPr>
        <w:t xml:space="preserve">il </w:t>
      </w:r>
      <w:r>
        <w:rPr>
          <w:b/>
          <w:bCs/>
          <w:sz w:val="23"/>
          <w:szCs w:val="23"/>
        </w:rPr>
        <w:t xml:space="preserve">. . . </w:t>
      </w:r>
      <w:proofErr w:type="gramStart"/>
      <w:r>
        <w:rPr>
          <w:b/>
          <w:bCs/>
          <w:sz w:val="23"/>
          <w:szCs w:val="23"/>
        </w:rPr>
        <w:t>. . . .</w:t>
      </w:r>
      <w:proofErr w:type="gramEnd"/>
      <w:r>
        <w:rPr>
          <w:b/>
          <w:bCs/>
          <w:sz w:val="23"/>
          <w:szCs w:val="23"/>
        </w:rPr>
        <w:t xml:space="preserve"> . </w:t>
      </w:r>
      <w:r>
        <w:rPr>
          <w:b/>
          <w:bCs/>
          <w:sz w:val="23"/>
          <w:szCs w:val="23"/>
        </w:rPr>
        <w:t xml:space="preserve"> </w:t>
      </w:r>
      <w:r>
        <w:rPr>
          <w:sz w:val="23"/>
          <w:szCs w:val="23"/>
        </w:rPr>
        <w:t xml:space="preserve">Codice fiscale: </w:t>
      </w:r>
      <w:r>
        <w:rPr>
          <w:sz w:val="23"/>
          <w:szCs w:val="23"/>
        </w:rPr>
        <w:t xml:space="preserve">. . . . . . . . . </w:t>
      </w:r>
      <w:proofErr w:type="gramStart"/>
      <w:r>
        <w:rPr>
          <w:sz w:val="23"/>
          <w:szCs w:val="23"/>
        </w:rPr>
        <w:t xml:space="preserve">. . . </w:t>
      </w:r>
      <w:r>
        <w:rPr>
          <w:sz w:val="23"/>
          <w:szCs w:val="23"/>
        </w:rPr>
        <w:t>,</w:t>
      </w:r>
      <w:proofErr w:type="gramEnd"/>
      <w:r>
        <w:rPr>
          <w:sz w:val="23"/>
          <w:szCs w:val="23"/>
        </w:rPr>
        <w:t xml:space="preserve"> e residente in </w:t>
      </w:r>
      <w:r>
        <w:rPr>
          <w:b/>
          <w:bCs/>
          <w:sz w:val="23"/>
          <w:szCs w:val="23"/>
        </w:rPr>
        <w:t xml:space="preserve">. . . . . . . . . . . . . . . </w:t>
      </w:r>
      <w:r>
        <w:rPr>
          <w:b/>
          <w:bCs/>
          <w:sz w:val="23"/>
          <w:szCs w:val="23"/>
        </w:rPr>
        <w:t xml:space="preserve"> </w:t>
      </w:r>
    </w:p>
    <w:p w:rsidR="00B5124B" w:rsidRDefault="00B5124B" w:rsidP="00B5124B">
      <w:pPr>
        <w:pStyle w:val="Default"/>
        <w:rPr>
          <w:sz w:val="23"/>
          <w:szCs w:val="23"/>
        </w:rPr>
      </w:pPr>
      <w:r>
        <w:rPr>
          <w:b/>
          <w:bCs/>
          <w:sz w:val="23"/>
          <w:szCs w:val="23"/>
        </w:rPr>
        <w:t xml:space="preserve">TESSERINO DA HOBBISTA Con validità di anni 1 (uno) decorrenti dalla data del </w:t>
      </w:r>
      <w:r>
        <w:rPr>
          <w:b/>
          <w:bCs/>
          <w:sz w:val="23"/>
          <w:szCs w:val="23"/>
        </w:rPr>
        <w:t xml:space="preserve">. . . . . . </w:t>
      </w:r>
      <w:proofErr w:type="gramStart"/>
      <w:r>
        <w:rPr>
          <w:b/>
          <w:bCs/>
          <w:sz w:val="23"/>
          <w:szCs w:val="23"/>
        </w:rPr>
        <w:t>. . . .</w:t>
      </w:r>
      <w:proofErr w:type="gramEnd"/>
      <w:r>
        <w:rPr>
          <w:b/>
          <w:bCs/>
          <w:sz w:val="23"/>
          <w:szCs w:val="23"/>
        </w:rPr>
        <w:t xml:space="preserve"> </w:t>
      </w:r>
      <w:r>
        <w:rPr>
          <w:b/>
          <w:bCs/>
          <w:sz w:val="23"/>
          <w:szCs w:val="23"/>
        </w:rPr>
        <w:t xml:space="preserve"> </w:t>
      </w:r>
    </w:p>
    <w:p w:rsidR="00B5124B" w:rsidRDefault="00B5124B" w:rsidP="00B5124B">
      <w:pPr>
        <w:rPr>
          <w:sz w:val="23"/>
          <w:szCs w:val="23"/>
        </w:rPr>
      </w:pPr>
      <w:r>
        <w:rPr>
          <w:sz w:val="23"/>
          <w:szCs w:val="23"/>
        </w:rPr>
        <w:t xml:space="preserve">Imposta di bollo assolta con la marca n. </w:t>
      </w:r>
      <w:r>
        <w:rPr>
          <w:sz w:val="23"/>
          <w:szCs w:val="23"/>
        </w:rPr>
        <w:t xml:space="preserve">. . . . . .  . . . . . </w:t>
      </w:r>
      <w:r>
        <w:rPr>
          <w:sz w:val="23"/>
          <w:szCs w:val="23"/>
        </w:rPr>
        <w:t xml:space="preserve"> del </w:t>
      </w:r>
      <w:r>
        <w:rPr>
          <w:sz w:val="23"/>
          <w:szCs w:val="23"/>
        </w:rPr>
        <w:t xml:space="preserve">. . . . . . </w:t>
      </w:r>
      <w:proofErr w:type="gramStart"/>
      <w:r>
        <w:rPr>
          <w:sz w:val="23"/>
          <w:szCs w:val="23"/>
        </w:rPr>
        <w:t>. . . .</w:t>
      </w:r>
      <w:proofErr w:type="gramEnd"/>
      <w:r>
        <w:rPr>
          <w:sz w:val="23"/>
          <w:szCs w:val="23"/>
        </w:rPr>
        <w:t xml:space="preserve"> </w:t>
      </w:r>
      <w:r>
        <w:rPr>
          <w:sz w:val="23"/>
          <w:szCs w:val="23"/>
        </w:rPr>
        <w:t>, agli atti del Comune.</w:t>
      </w:r>
    </w:p>
    <w:p w:rsidR="00B5124B" w:rsidRDefault="00B5124B" w:rsidP="00B5124B">
      <w:pPr>
        <w:rPr>
          <w:sz w:val="23"/>
          <w:szCs w:val="23"/>
        </w:rPr>
      </w:pPr>
    </w:p>
    <w:p w:rsidR="00B5124B" w:rsidRDefault="00B5124B" w:rsidP="00B5124B">
      <w:pPr>
        <w:jc w:val="center"/>
        <w:rPr>
          <w:b/>
          <w:bCs/>
          <w:sz w:val="23"/>
          <w:szCs w:val="23"/>
        </w:rPr>
      </w:pPr>
      <w:r>
        <w:rPr>
          <w:b/>
          <w:bCs/>
          <w:sz w:val="23"/>
          <w:szCs w:val="23"/>
        </w:rPr>
        <w:t>R</w:t>
      </w:r>
      <w:r>
        <w:rPr>
          <w:b/>
          <w:bCs/>
          <w:sz w:val="23"/>
          <w:szCs w:val="23"/>
        </w:rPr>
        <w:t>ICORDA CHE</w:t>
      </w:r>
    </w:p>
    <w:p w:rsidR="00B5124B" w:rsidRDefault="00B5124B" w:rsidP="00B5124B">
      <w:pPr>
        <w:rPr>
          <w:b/>
          <w:bCs/>
          <w:sz w:val="23"/>
          <w:szCs w:val="23"/>
        </w:rPr>
      </w:pPr>
    </w:p>
    <w:p w:rsidR="00B5124B" w:rsidRDefault="00B5124B" w:rsidP="00B5124B">
      <w:pPr>
        <w:pStyle w:val="Default"/>
        <w:jc w:val="both"/>
        <w:rPr>
          <w:sz w:val="23"/>
          <w:szCs w:val="23"/>
        </w:rPr>
      </w:pPr>
      <w:r>
        <w:rPr>
          <w:sz w:val="23"/>
          <w:szCs w:val="23"/>
        </w:rPr>
        <w:lastRenderedPageBreak/>
        <w:t xml:space="preserve">1) Il tesserino hobbista rilasciato abilita alla partecipazione ai mercatini degli hobbisti e ai mercatini storici con hobbisti di cui all’art. 6, comma 1, </w:t>
      </w:r>
      <w:proofErr w:type="spellStart"/>
      <w:r>
        <w:rPr>
          <w:sz w:val="23"/>
          <w:szCs w:val="23"/>
        </w:rPr>
        <w:t>lett</w:t>
      </w:r>
      <w:proofErr w:type="spellEnd"/>
      <w:r>
        <w:rPr>
          <w:sz w:val="23"/>
          <w:szCs w:val="23"/>
        </w:rPr>
        <w:t xml:space="preserve">. c bis) e c ter) della legge regionale n. 12 del 1999 ess.mm.; </w:t>
      </w:r>
    </w:p>
    <w:p w:rsidR="00B5124B" w:rsidRDefault="00B5124B" w:rsidP="00B5124B">
      <w:pPr>
        <w:pStyle w:val="Default"/>
        <w:jc w:val="both"/>
        <w:rPr>
          <w:sz w:val="23"/>
          <w:szCs w:val="23"/>
        </w:rPr>
      </w:pPr>
      <w:r>
        <w:rPr>
          <w:sz w:val="23"/>
          <w:szCs w:val="23"/>
        </w:rPr>
        <w:t xml:space="preserve">2) NON si può vendere, barattare, proporre o esporre più di un oggetto con un prezzo superiore a euro 250,00 e di essere, inoltre, a conoscenza che il valore complessivo della merce non può essere superiore a euro 1.000,00. </w:t>
      </w:r>
    </w:p>
    <w:p w:rsidR="00B5124B" w:rsidRDefault="00B5124B" w:rsidP="00B5124B">
      <w:pPr>
        <w:pStyle w:val="Default"/>
        <w:jc w:val="both"/>
        <w:rPr>
          <w:sz w:val="23"/>
          <w:szCs w:val="23"/>
        </w:rPr>
      </w:pPr>
      <w:r>
        <w:rPr>
          <w:sz w:val="23"/>
          <w:szCs w:val="23"/>
        </w:rPr>
        <w:t xml:space="preserve">3) alla vidimazione del tesserino, deve essere consegnato al Comune, l’elenco completo dei beni che si intende vendere, barattare, proporre o esporre; </w:t>
      </w:r>
    </w:p>
    <w:p w:rsidR="00B5124B" w:rsidRDefault="00B5124B" w:rsidP="00B5124B">
      <w:pPr>
        <w:pStyle w:val="Default"/>
        <w:jc w:val="both"/>
        <w:rPr>
          <w:sz w:val="23"/>
          <w:szCs w:val="23"/>
        </w:rPr>
      </w:pPr>
      <w:r>
        <w:rPr>
          <w:sz w:val="23"/>
          <w:szCs w:val="23"/>
        </w:rPr>
        <w:t xml:space="preserve">4) durante le manifestazioni, dovrà essere esporre il tesserino, unitamente all’elenco delle merci in esposizione, in modo visibile e leggibile al pubblico e agli organi preposti al controllo; </w:t>
      </w:r>
    </w:p>
    <w:p w:rsidR="00B5124B" w:rsidRDefault="00B5124B" w:rsidP="00B5124B">
      <w:pPr>
        <w:jc w:val="both"/>
        <w:rPr>
          <w:b/>
          <w:bCs/>
          <w:sz w:val="23"/>
          <w:szCs w:val="23"/>
        </w:rPr>
      </w:pPr>
      <w:r>
        <w:rPr>
          <w:sz w:val="23"/>
          <w:szCs w:val="23"/>
        </w:rPr>
        <w:t>5) il tesserino consente di partecipare ad un massimo di 30 manifestazioni all’anno, di cui 10 mercatini degli hobbisti e 20 mercatini storici con hobbisti, e che, esauriti gli spazi per la partecipazione ai mercatini storici con hobbisti, eventuali spazi non utilizzati per la partecipazione ai mercatini degli hobbisti possono essere utilizzati per la partecipazione ai mercatini storici con hobbisti, considerandosi come unitaria la partecipazione a manifestazioni della durata di due giorni consecutivi.</w:t>
      </w:r>
    </w:p>
    <w:p w:rsidR="00B5124B" w:rsidRDefault="00B5124B" w:rsidP="00B5124B">
      <w:pPr>
        <w:jc w:val="both"/>
        <w:rPr>
          <w:sz w:val="23"/>
          <w:szCs w:val="23"/>
        </w:rPr>
      </w:pPr>
    </w:p>
    <w:p w:rsidR="00B5124B" w:rsidRPr="00B5124B" w:rsidRDefault="00B5124B" w:rsidP="00B5124B">
      <w:pPr>
        <w:jc w:val="right"/>
        <w:rPr>
          <w:sz w:val="23"/>
          <w:szCs w:val="23"/>
        </w:rPr>
      </w:pPr>
      <w:r>
        <w:rPr>
          <w:sz w:val="23"/>
          <w:szCs w:val="23"/>
        </w:rPr>
        <w:t>IL RESPONSABILE DEL SERVIZIO</w:t>
      </w:r>
      <w:r>
        <w:rPr>
          <w:sz w:val="23"/>
          <w:szCs w:val="23"/>
        </w:rPr>
        <w:tab/>
      </w:r>
      <w:r>
        <w:rPr>
          <w:sz w:val="23"/>
          <w:szCs w:val="23"/>
        </w:rPr>
        <w:tab/>
      </w:r>
      <w:bookmarkStart w:id="0" w:name="_GoBack"/>
      <w:bookmarkEnd w:id="0"/>
    </w:p>
    <w:sectPr w:rsidR="00B5124B" w:rsidRPr="00B512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FE"/>
    <w:rsid w:val="00022E95"/>
    <w:rsid w:val="000E5E2C"/>
    <w:rsid w:val="00131490"/>
    <w:rsid w:val="00336DDD"/>
    <w:rsid w:val="00355ED5"/>
    <w:rsid w:val="004A4EE7"/>
    <w:rsid w:val="0050450D"/>
    <w:rsid w:val="005264D4"/>
    <w:rsid w:val="005B0AEA"/>
    <w:rsid w:val="006549FB"/>
    <w:rsid w:val="00760AB5"/>
    <w:rsid w:val="007F450F"/>
    <w:rsid w:val="007F4ACE"/>
    <w:rsid w:val="0085216D"/>
    <w:rsid w:val="009407BE"/>
    <w:rsid w:val="00965A57"/>
    <w:rsid w:val="009E5416"/>
    <w:rsid w:val="00A53100"/>
    <w:rsid w:val="00A872E5"/>
    <w:rsid w:val="00AD74C7"/>
    <w:rsid w:val="00B3326B"/>
    <w:rsid w:val="00B5124B"/>
    <w:rsid w:val="00BD17AC"/>
    <w:rsid w:val="00C920FE"/>
    <w:rsid w:val="00CD58D8"/>
    <w:rsid w:val="00D53D31"/>
    <w:rsid w:val="00EF2EEC"/>
    <w:rsid w:val="00F42147"/>
    <w:rsid w:val="00F71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EEFB"/>
  <w15:chartTrackingRefBased/>
  <w15:docId w15:val="{76E50007-DA96-4F59-B661-E54AE7AE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920FE"/>
    <w:rPr>
      <w:sz w:val="22"/>
      <w:szCs w:val="22"/>
      <w:lang w:eastAsia="en-US"/>
    </w:rPr>
  </w:style>
  <w:style w:type="paragraph" w:customStyle="1" w:styleId="Default">
    <w:name w:val="Default"/>
    <w:rsid w:val="00B5124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6D4F-0D88-4C63-BC2B-166BD13E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Cedaf</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Siboni Davide</dc:creator>
  <cp:keywords/>
  <cp:lastModifiedBy>Ruscelli Marco</cp:lastModifiedBy>
  <cp:revision>2</cp:revision>
  <dcterms:created xsi:type="dcterms:W3CDTF">2021-08-16T13:01:00Z</dcterms:created>
  <dcterms:modified xsi:type="dcterms:W3CDTF">2021-08-16T13:01:00Z</dcterms:modified>
</cp:coreProperties>
</file>